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tabs>
          <w:tab w:val="left" w:leader="none" w:pos="2808"/>
          <w:tab w:val="left" w:leader="none" w:pos="7848"/>
        </w:tabs>
        <w:spacing w:before="1243" w:after="259" w:line="211" w:lineRule="exact"/>
        <w:ind w:right="0" w:left="72" w:firstLine="0"/>
        <w:jc w:val="left"/>
        <w:textAlignment w:val="baseline"/>
        <w:rPr>
          <w:rFonts w:ascii="Times New Roman" w:hAnsi="Times New Roman" w:eastAsia="Times New Roman"/>
          <w:color w:val="000000"/>
          <w:spacing w:val="-1"/>
          <w:w w:val="100"/>
          <w:sz w:val="18"/>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595.2pt;height:817.2pt;z-index:-1000;margin-left:0pt;margin-top:0pt;mso-wrap-distance-left:0pt;mso-wrap-distance-right:0pt;mso-position-horizontal-relative:page;mso-position-vertical-relative:page">
            <v:fill opacity="1" o:opacity2="1" recolor="f" rotate="f" type="solid"/>
            <v:textbox inset="0pt, 0pt, 0pt, 0pt">
              <w:txbxContent>
                <w:p>
                  <w:pPr>
                    <w:pBdr>
                      <w:top w:sz="2" w:space="0" w:color="000000" w:val="single"/>
                      <w:left w:sz="2" w:space="0" w:color="000000" w:val="single"/>
                      <w:bottom w:sz="2" w:space="0" w:color="000000" w:val="single"/>
                      <w:right w:sz="2" w:space="0" w:color="000000" w:val="single"/>
                    </w:pBdr>
                  </w:pPr>
                </w:p>
              </w:txbxContent>
            </v:textbox>
          </v:shape>
        </w:pict>
      </w:r>
      <w:r>
        <w:pict>
          <v:line strokeweight="0.7pt" strokecolor="#000000" from="38.9pt,75.85pt" to="530.45pt,75.85pt" style="position:absolute;mso-position-horizontal-relative:page;mso-position-vertical-relative:page;">
            <v:stroke dashstyle="solid"/>
          </v:line>
        </w:pict>
      </w:r>
      <w:r>
        <w:rPr>
          <w:rFonts w:ascii="Times New Roman" w:hAnsi="Times New Roman" w:eastAsia="Times New Roman"/>
          <w:color w:val="000000"/>
          <w:spacing w:val="-1"/>
          <w:w w:val="100"/>
          <w:sz w:val="18"/>
          <w:vertAlign w:val="baseline"/>
          <w:lang w:val="fr-FR"/>
        </w:rPr>
        <w:t xml:space="preserve">15 novembre 2011	</w:t>
      </w:r>
      <w:r>
        <w:rPr>
          <w:rFonts w:ascii="Times New Roman" w:hAnsi="Times New Roman" w:eastAsia="Times New Roman"/>
          <w:color w:val="000000"/>
          <w:spacing w:val="-1"/>
          <w:w w:val="100"/>
          <w:sz w:val="18"/>
          <w:vertAlign w:val="baseline"/>
          <w:lang w:val="fr-FR"/>
        </w:rPr>
        <w:t xml:space="preserve">Journal Officiel de la République Démocratique du Congo	</w:t>
      </w:r>
      <w:r>
        <w:rPr>
          <w:rFonts w:ascii="Times New Roman" w:hAnsi="Times New Roman" w:eastAsia="Times New Roman"/>
          <w:i w:val="true"/>
          <w:color w:val="000000"/>
          <w:spacing w:val="-1"/>
          <w:w w:val="100"/>
          <w:sz w:val="18"/>
          <w:vertAlign w:val="baseline"/>
          <w:lang w:val="fr-FR"/>
        </w:rPr>
        <w:t xml:space="preserve">Première partie - </w:t>
      </w:r>
      <w:r>
        <w:rPr>
          <w:rFonts w:ascii="Times New Roman" w:hAnsi="Times New Roman" w:eastAsia="Times New Roman"/>
          <w:color w:val="000000"/>
          <w:spacing w:val="-1"/>
          <w:w w:val="100"/>
          <w:sz w:val="18"/>
          <w:vertAlign w:val="baseline"/>
          <w:lang w:val="fr-FR"/>
        </w:rPr>
        <w:t xml:space="preserve">numéro 22</w:t>
      </w:r>
    </w:p>
    <w:p>
      <w:pPr>
        <w:spacing w:before="1243" w:after="259" w:line="211" w:lineRule="exact"/>
        <w:sectPr>
          <w:type w:val="nextPage"/>
          <w:pgSz w:w="11904" w:h="16843" w:orient="portrait"/>
          <w:pgMar w:bottom="219" w:top="0" w:right="1046" w:left="778" w:header="720" w:footer="720"/>
          <w:titlePg w:val="false"/>
          <w:textDirection w:val="lrTb"/>
        </w:sectPr>
      </w:pPr>
    </w:p>
    <w:p>
      <w:pPr>
        <w:pageBreakBefore w:val="false"/>
        <w:spacing w:before="0" w:after="0" w:line="218" w:lineRule="exact"/>
        <w:ind w:right="0" w:left="936" w:firstLine="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Générale des Douanes et Accises (DGDA), la Direction Générale des Impôts (DGI), la Direction Générale des Recettes Administratives et Domaniales (DGRAD), l'Office Congolais de Contrôle (OCC), intervenant dans le cadre de la mise en oeuvre de ces facilités, à les appliquer.</w:t>
      </w:r>
    </w:p>
    <w:p>
      <w:pPr>
        <w:pageBreakBefore w:val="false"/>
        <w:spacing w:before="0" w:after="0" w:line="464"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Chapitre </w:t>
      </w:r>
      <w:r>
        <w:rPr>
          <w:rFonts w:ascii="Times New Roman" w:hAnsi="Times New Roman" w:eastAsia="Times New Roman"/>
          <w:b w:val="true"/>
          <w:color w:val="000000"/>
          <w:spacing w:val="0"/>
          <w:w w:val="100"/>
          <w:sz w:val="18"/>
          <w:vertAlign w:val="baseline"/>
          <w:lang w:val="fr-FR"/>
        </w:rPr>
        <w:t xml:space="preserve">III: </w:t>
      </w:r>
      <w:r>
        <w:rPr>
          <w:rFonts w:ascii="Times New Roman" w:hAnsi="Times New Roman" w:eastAsia="Times New Roman"/>
          <w:color w:val="000000"/>
          <w:spacing w:val="0"/>
          <w:w w:val="100"/>
          <w:sz w:val="18"/>
          <w:vertAlign w:val="baseline"/>
          <w:lang w:val="fr-FR"/>
        </w:rPr>
        <w:t xml:space="preserve">Règlement des Litiges</w:t>
        <w:br/>
      </w:r>
      <w:r>
        <w:rPr>
          <w:rFonts w:ascii="Times New Roman" w:hAnsi="Times New Roman" w:eastAsia="Times New Roman"/>
          <w:color w:val="000000"/>
          <w:spacing w:val="0"/>
          <w:w w:val="100"/>
          <w:sz w:val="18"/>
          <w:vertAlign w:val="baseline"/>
          <w:lang w:val="fr-FR"/>
        </w:rPr>
        <w:t xml:space="preserve">Article 5 :</w:t>
      </w:r>
    </w:p>
    <w:p>
      <w:pPr>
        <w:pageBreakBefore w:val="false"/>
        <w:spacing w:before="66" w:after="0" w:line="215" w:lineRule="exact"/>
        <w:ind w:right="0" w:left="0" w:firstLine="360"/>
        <w:jc w:val="both"/>
        <w:textAlignment w:val="baseline"/>
        <w:rPr>
          <w:rFonts w:ascii="Times New Roman" w:hAnsi="Times New Roman" w:eastAsia="Times New Roman"/>
          <w:color w:val="000000"/>
          <w:spacing w:val="4"/>
          <w:w w:val="100"/>
          <w:sz w:val="18"/>
          <w:vertAlign w:val="baseline"/>
          <w:lang w:val="fr-FR"/>
        </w:rPr>
      </w:pPr>
      <w:r>
        <w:rPr>
          <w:rFonts w:ascii="Times New Roman" w:hAnsi="Times New Roman" w:eastAsia="Times New Roman"/>
          <w:color w:val="000000"/>
          <w:spacing w:val="4"/>
          <w:w w:val="100"/>
          <w:sz w:val="18"/>
          <w:vertAlign w:val="baseline"/>
          <w:lang w:val="fr-FR"/>
        </w:rPr>
        <w:t xml:space="preserve">Tout litige résultant de l'application ou de l'interprétation des dispositions du présent Accord Cadre sera soumis à défaut d'un arrangement à l'amiable entre les deux parties, au Tribunal de Grande Instance du ressort du bureau de représentation de la Fondation Georges Malaika en République Démocratique du Congo.:</w:t>
      </w:r>
    </w:p>
    <w:p>
      <w:pPr>
        <w:pageBreakBefore w:val="false"/>
        <w:spacing w:before="53" w:after="0" w:line="220"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Les litiges antérieurs à l'entrée en vigueur du présent accord feront l'objet d'un moratoire particulier.</w:t>
      </w:r>
    </w:p>
    <w:p>
      <w:pPr>
        <w:pageBreakBefore w:val="false"/>
        <w:spacing w:before="0" w:after="0" w:line="471"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Chapitre IV : Dispositions communes</w:t>
        <w:br/>
      </w:r>
      <w:r>
        <w:rPr>
          <w:rFonts w:ascii="Times New Roman" w:hAnsi="Times New Roman" w:eastAsia="Times New Roman"/>
          <w:color w:val="000000"/>
          <w:spacing w:val="0"/>
          <w:w w:val="100"/>
          <w:sz w:val="18"/>
          <w:vertAlign w:val="baseline"/>
          <w:lang w:val="fr-FR"/>
        </w:rPr>
        <w:t xml:space="preserve">Article 6:</w:t>
      </w:r>
    </w:p>
    <w:p>
      <w:pPr>
        <w:pageBreakBefore w:val="false"/>
        <w:spacing w:before="60" w:after="0" w:line="214"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Afin d'assurer l'application efficace des dispositions du présent accord, les parties contractantes conviennent de s'informer et de se consulter mutuellement.</w:t>
      </w:r>
    </w:p>
    <w:p>
      <w:pPr>
        <w:pageBreakBefore w:val="false"/>
        <w:spacing w:before="285" w:after="0" w:line="210"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Article 7 :</w:t>
      </w:r>
    </w:p>
    <w:p>
      <w:pPr>
        <w:pageBreakBefore w:val="false"/>
        <w:spacing w:before="52" w:after="0" w:line="217"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Toute convention avec un autre Ministère sera tenue comme supplémentaire au présent Accord - cadre et devra respecter les termes de base dans ce dernier.</w:t>
      </w:r>
    </w:p>
    <w:p>
      <w:pPr>
        <w:pageBreakBefore w:val="false"/>
        <w:spacing w:before="0" w:after="0" w:line="466"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Chapitre V : Dispositions finales</w:t>
        <w:br/>
      </w:r>
      <w:r>
        <w:rPr>
          <w:rFonts w:ascii="Times New Roman" w:hAnsi="Times New Roman" w:eastAsia="Times New Roman"/>
          <w:color w:val="000000"/>
          <w:spacing w:val="0"/>
          <w:w w:val="100"/>
          <w:sz w:val="18"/>
          <w:vertAlign w:val="baseline"/>
          <w:lang w:val="fr-FR"/>
        </w:rPr>
        <w:t xml:space="preserve">Article 8 :</w:t>
      </w:r>
    </w:p>
    <w:p>
      <w:pPr>
        <w:pageBreakBefore w:val="false"/>
        <w:spacing w:before="64" w:after="0" w:line="214"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Le présent Accord - cadre est établi sous réserve de l'obtention du Décret autorisant l'implantation de l'ASBL en République Démocratique du Congo.</w:t>
      </w:r>
    </w:p>
    <w:p>
      <w:pPr>
        <w:pageBreakBefore w:val="false"/>
        <w:spacing w:before="293" w:after="0" w:line="210"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Article 9 :</w:t>
      </w:r>
    </w:p>
    <w:p>
      <w:pPr>
        <w:pageBreakBefore w:val="false"/>
        <w:spacing w:before="63" w:after="0" w:line="216"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Cet accord de collaboration engage les deux parties pour une durée de cinq ans renouvelable après évaluation pour la même période prenant cours à la date de sa signature.</w:t>
      </w:r>
    </w:p>
    <w:p>
      <w:pPr>
        <w:pageBreakBefore w:val="false"/>
        <w:spacing w:before="290" w:after="0" w:line="210"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Article 10:</w:t>
      </w:r>
    </w:p>
    <w:p>
      <w:pPr>
        <w:pageBreakBefore w:val="false"/>
        <w:spacing w:before="55" w:after="0" w:line="213"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Chacune des parties peut mettre fin au présent accord cadre moyennant préavis de six mois adressé à l'autre avec accusé de réception. Le préavis commence à courir la date de la réception de la notification.</w:t>
      </w:r>
    </w:p>
    <w:p>
      <w:pPr>
        <w:pageBreakBefore w:val="false"/>
        <w:spacing w:before="298" w:after="0" w:line="210"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Article 11 :</w:t>
      </w:r>
    </w:p>
    <w:p>
      <w:pPr>
        <w:pageBreakBefore w:val="false"/>
        <w:spacing w:before="64" w:after="0" w:line="207"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Toute modification du présent Accord-cadre se fait moyennant un avenant signé par les deux parties.</w:t>
      </w:r>
    </w:p>
    <w:p>
      <w:pPr>
        <w:pageBreakBefore w:val="false"/>
        <w:spacing w:before="283" w:after="0" w:line="210"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Article 12 :</w:t>
      </w:r>
    </w:p>
    <w:p>
      <w:pPr>
        <w:pageBreakBefore w:val="false"/>
        <w:spacing w:before="72" w:after="0" w:line="208"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Le présent Accord-cadre entre en vigueur à la date de sa signature.</w:t>
      </w:r>
    </w:p>
    <w:p>
      <w:pPr>
        <w:pageBreakBefore w:val="false"/>
        <w:spacing w:before="73" w:after="0" w:line="207"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Fait à Kinshasa en cinq exemplaires originaux, le 19 septembre 2011.</w:t>
      </w:r>
    </w:p>
    <w:p>
      <w:pPr>
        <w:pageBreakBefore w:val="false"/>
        <w:spacing w:before="0" w:after="0" w:line="205" w:lineRule="exact"/>
        <w:ind w:right="0" w:left="0" w:firstLine="0"/>
        <w:jc w:val="right"/>
        <w:textAlignment w:val="baseline"/>
        <w:rPr>
          <w:rFonts w:ascii="Times New Roman" w:hAnsi="Times New Roman" w:eastAsia="Times New Roman"/>
          <w:color w:val="000000"/>
          <w:spacing w:val="2"/>
          <w:w w:val="100"/>
          <w:sz w:val="18"/>
          <w:vertAlign w:val="baseline"/>
          <w:lang w:val="fr-FR"/>
        </w:rPr>
      </w:pPr>
      <w:r>
        <w:br w:type="column"/>
      </w:r>
      <w:r>
        <w:rPr>
          <w:rFonts w:ascii="Times New Roman" w:hAnsi="Times New Roman" w:eastAsia="Times New Roman"/>
          <w:color w:val="000000"/>
          <w:spacing w:val="2"/>
          <w:w w:val="100"/>
          <w:sz w:val="18"/>
          <w:vertAlign w:val="baseline"/>
          <w:lang w:val="fr-FR"/>
        </w:rPr>
        <w:t xml:space="preserve">Pour le Gouvernement de la République Démocratique du</w:t>
      </w:r>
    </w:p>
    <w:p>
      <w:pPr>
        <w:pageBreakBefore w:val="false"/>
        <w:spacing w:before="6" w:after="0" w:line="210"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Congo</w:t>
      </w:r>
    </w:p>
    <w:p>
      <w:pPr>
        <w:pageBreakBefore w:val="false"/>
        <w:spacing w:before="68" w:after="0" w:line="210" w:lineRule="exact"/>
        <w:ind w:right="0" w:left="0" w:firstLine="0"/>
        <w:jc w:val="center"/>
        <w:textAlignment w:val="baseline"/>
        <w:rPr>
          <w:rFonts w:ascii="Times New Roman" w:hAnsi="Times New Roman" w:eastAsia="Times New Roman"/>
          <w:color w:val="000000"/>
          <w:spacing w:val="1"/>
          <w:w w:val="100"/>
          <w:sz w:val="18"/>
          <w:vertAlign w:val="baseline"/>
          <w:lang w:val="fr-FR"/>
        </w:rPr>
      </w:pPr>
      <w:r>
        <w:rPr>
          <w:rFonts w:ascii="Times New Roman" w:hAnsi="Times New Roman" w:eastAsia="Times New Roman"/>
          <w:color w:val="000000"/>
          <w:spacing w:val="1"/>
          <w:w w:val="100"/>
          <w:sz w:val="18"/>
          <w:vertAlign w:val="baseline"/>
          <w:lang w:val="fr-FR"/>
        </w:rPr>
        <w:t xml:space="preserve">Olivier Kamitatu Etsu</w:t>
      </w:r>
    </w:p>
    <w:p>
      <w:pPr>
        <w:pageBreakBefore w:val="false"/>
        <w:spacing w:before="247" w:after="0" w:line="210" w:lineRule="exact"/>
        <w:ind w:right="0" w:left="0" w:firstLine="0"/>
        <w:jc w:val="right"/>
        <w:textAlignment w:val="baseline"/>
        <w:rPr>
          <w:rFonts w:ascii="Times New Roman" w:hAnsi="Times New Roman" w:eastAsia="Times New Roman"/>
          <w:color w:val="000000"/>
          <w:spacing w:val="2"/>
          <w:w w:val="100"/>
          <w:sz w:val="18"/>
          <w:vertAlign w:val="baseline"/>
          <w:lang w:val="fr-FR"/>
        </w:rPr>
      </w:pPr>
      <w:r>
        <w:rPr>
          <w:rFonts w:ascii="Times New Roman" w:hAnsi="Times New Roman" w:eastAsia="Times New Roman"/>
          <w:color w:val="000000"/>
          <w:spacing w:val="2"/>
          <w:w w:val="100"/>
          <w:sz w:val="18"/>
          <w:vertAlign w:val="baseline"/>
          <w:lang w:val="fr-FR"/>
        </w:rPr>
        <w:t xml:space="preserve">Pour l'Association Sans But Lucratif Fondation Georges</w:t>
      </w:r>
    </w:p>
    <w:p>
      <w:pPr>
        <w:pageBreakBefore w:val="false"/>
        <w:spacing w:before="8" w:after="0" w:line="210"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Malaika</w:t>
      </w:r>
    </w:p>
    <w:p>
      <w:pPr>
        <w:pageBreakBefore w:val="false"/>
        <w:spacing w:before="63" w:after="393" w:line="210" w:lineRule="exact"/>
        <w:ind w:right="0" w:left="0" w:firstLine="0"/>
        <w:jc w:val="center"/>
        <w:textAlignment w:val="baseline"/>
        <w:rPr>
          <w:rFonts w:ascii="Times New Roman" w:hAnsi="Times New Roman" w:eastAsia="Times New Roman"/>
          <w:color w:val="000000"/>
          <w:spacing w:val="3"/>
          <w:w w:val="100"/>
          <w:sz w:val="18"/>
          <w:vertAlign w:val="baseline"/>
          <w:lang w:val="fr-FR"/>
        </w:rPr>
      </w:pPr>
      <w:r>
        <w:rPr>
          <w:rFonts w:ascii="Times New Roman" w:hAnsi="Times New Roman" w:eastAsia="Times New Roman"/>
          <w:color w:val="000000"/>
          <w:spacing w:val="3"/>
          <w:w w:val="100"/>
          <w:sz w:val="18"/>
          <w:vertAlign w:val="baseline"/>
          <w:lang w:val="fr-FR"/>
        </w:rPr>
        <w:t xml:space="preserve">Johanna Salim Musunka</w:t>
      </w:r>
    </w:p>
    <w:p>
      <w:pPr>
        <w:pageBreakBefore w:val="false"/>
        <w:spacing w:before="388" w:after="0" w:line="211" w:lineRule="exact"/>
        <w:ind w:right="0" w:left="0" w:firstLine="0"/>
        <w:jc w:val="center"/>
        <w:textAlignment w:val="baseline"/>
        <w:rPr>
          <w:rFonts w:ascii="Times New Roman" w:hAnsi="Times New Roman" w:eastAsia="Times New Roman"/>
          <w:i w:val="true"/>
          <w:color w:val="000000"/>
          <w:spacing w:val="2"/>
          <w:w w:val="100"/>
          <w:sz w:val="18"/>
          <w:vertAlign w:val="baseline"/>
          <w:lang w:val="fr-FR"/>
        </w:rPr>
      </w:pPr>
      <w:r>
        <w:pict>
          <v:line strokeweight="0.5pt" strokecolor="#000000" from="388.8pt,188.4pt" to="435.4pt,188.4pt" style="position:absolute;mso-position-horizontal-relative:page;mso-position-vertical-relative:page;">
            <v:stroke dashstyle="solid"/>
          </v:line>
        </w:pict>
      </w:r>
      <w:r>
        <w:rPr>
          <w:rFonts w:ascii="Times New Roman" w:hAnsi="Times New Roman" w:eastAsia="Times New Roman"/>
          <w:i w:val="true"/>
          <w:color w:val="000000"/>
          <w:spacing w:val="2"/>
          <w:w w:val="100"/>
          <w:sz w:val="18"/>
          <w:vertAlign w:val="baseline"/>
          <w:lang w:val="fr-FR"/>
        </w:rPr>
        <w:t xml:space="preserve">Ministère des Hydrocarbures</w:t>
      </w:r>
    </w:p>
    <w:p>
      <w:pPr>
        <w:pageBreakBefore w:val="false"/>
        <w:spacing w:before="140" w:after="0" w:line="215" w:lineRule="exact"/>
        <w:ind w:right="0" w:left="0" w:firstLine="360"/>
        <w:jc w:val="both"/>
        <w:textAlignment w:val="baseline"/>
        <w:rPr>
          <w:rFonts w:ascii="Times New Roman" w:hAnsi="Times New Roman" w:eastAsia="Times New Roman"/>
          <w:b w:val="true"/>
          <w:color w:val="000000"/>
          <w:spacing w:val="3"/>
          <w:w w:val="100"/>
          <w:sz w:val="18"/>
          <w:vertAlign w:val="baseline"/>
          <w:lang w:val="fr-FR"/>
        </w:rPr>
      </w:pPr>
      <w:r>
        <w:rPr>
          <w:rFonts w:ascii="Times New Roman" w:hAnsi="Times New Roman" w:eastAsia="Times New Roman"/>
          <w:b w:val="true"/>
          <w:color w:val="000000"/>
          <w:spacing w:val="3"/>
          <w:w w:val="100"/>
          <w:sz w:val="18"/>
          <w:vertAlign w:val="baseline"/>
          <w:lang w:val="fr-FR"/>
        </w:rPr>
        <w:t xml:space="preserve">Arrêté ministériel n°012/MIN-HYD/CMK/2011, du 12 octobre 2011modifiant et complétant l'Arrêté n° 008/MJN.HYD/CMKI10 du 05 octobre 2010 portant création et fixation des coordonnées géographiques des contours d'un bloc pétrolier dénommé « Fossé de Borna » ouvert à l'exploration dans la zone des ex-rendus du bassin côtier</w:t>
      </w:r>
    </w:p>
    <w:p>
      <w:pPr>
        <w:pageBreakBefore w:val="false"/>
        <w:spacing w:before="155" w:after="0" w:line="211" w:lineRule="exact"/>
        <w:ind w:right="0" w:left="0" w:firstLine="0"/>
        <w:jc w:val="center"/>
        <w:textAlignment w:val="baseline"/>
        <w:rPr>
          <w:rFonts w:ascii="Times New Roman" w:hAnsi="Times New Roman" w:eastAsia="Times New Roman"/>
          <w:i w:val="true"/>
          <w:color w:val="000000"/>
          <w:spacing w:val="1"/>
          <w:w w:val="100"/>
          <w:sz w:val="18"/>
          <w:vertAlign w:val="baseline"/>
          <w:lang w:val="fr-FR"/>
        </w:rPr>
      </w:pPr>
      <w:r>
        <w:rPr>
          <w:rFonts w:ascii="Times New Roman" w:hAnsi="Times New Roman" w:eastAsia="Times New Roman"/>
          <w:i w:val="true"/>
          <w:color w:val="000000"/>
          <w:spacing w:val="1"/>
          <w:w w:val="100"/>
          <w:sz w:val="18"/>
          <w:vertAlign w:val="baseline"/>
          <w:lang w:val="fr-FR"/>
        </w:rPr>
        <w:t xml:space="preserve">Le Ministre des Hydrocarbures</w:t>
      </w:r>
    </w:p>
    <w:p>
      <w:pPr>
        <w:pageBreakBefore w:val="false"/>
        <w:spacing w:before="112" w:after="0" w:line="222"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la Constitution de la République Démocratique du Congo du 18 février 2006 telle que modifiée à ce jour;</w:t>
      </w:r>
    </w:p>
    <w:p>
      <w:pPr>
        <w:pageBreakBefore w:val="false"/>
        <w:spacing w:before="59" w:after="0" w:line="212"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la Loi n° 04/015 du 16 juillet 2004 portant nomenclature des actes générateurs des Recettes Administratives, Domaniales, Judiciaires et de Participation ainsi que leurs modalités de perception telle que modifiée et complétée par la Loi n° 05/008 du 31mars 2005 ;</w:t>
      </w:r>
    </w:p>
    <w:p>
      <w:pPr>
        <w:pageBreakBefore w:val="false"/>
        <w:spacing w:before="53" w:after="0" w:line="220" w:lineRule="exact"/>
        <w:ind w:right="0" w:left="0" w:firstLine="360"/>
        <w:jc w:val="both"/>
        <w:textAlignment w:val="baseline"/>
        <w:rPr>
          <w:rFonts w:ascii="Times New Roman" w:hAnsi="Times New Roman" w:eastAsia="Times New Roman"/>
          <w:color w:val="000000"/>
          <w:spacing w:val="2"/>
          <w:w w:val="100"/>
          <w:sz w:val="18"/>
          <w:vertAlign w:val="baseline"/>
          <w:lang w:val="fr-FR"/>
        </w:rPr>
      </w:pPr>
      <w:r>
        <w:rPr>
          <w:rFonts w:ascii="Times New Roman" w:hAnsi="Times New Roman" w:eastAsia="Times New Roman"/>
          <w:color w:val="000000"/>
          <w:spacing w:val="2"/>
          <w:w w:val="100"/>
          <w:sz w:val="18"/>
          <w:vertAlign w:val="baseline"/>
          <w:lang w:val="fr-FR"/>
        </w:rPr>
        <w:t xml:space="preserve">Vu telle que modifiée et complétée à ce jour, l'Ordonnance- Loi n° 81-013 du 02 avril 1981 portant législation générale sur les Mines et les hydrocarbures ;</w:t>
      </w:r>
    </w:p>
    <w:p>
      <w:pPr>
        <w:pageBreakBefore w:val="false"/>
        <w:spacing w:before="64" w:after="0" w:line="212"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l'Ordonnance n° 11/063 du I 1 septembre 2011 portant nomination des Vice- Premiers Ministres, Ministres et Vice-ministres ;</w:t>
      </w:r>
    </w:p>
    <w:p>
      <w:pPr>
        <w:pageBreakBefore w:val="false"/>
        <w:spacing w:before="63" w:after="0" w:line="214"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l'Ordonnance n°08/073 du 24 décembre portant organisation et fonctionnement du Gouvernement ainsi que les modalités pratiques de collaboration entre le Président, le Gouvernement ainsi qu'entre les membres du Gouvernement ;</w:t>
      </w:r>
    </w:p>
    <w:p>
      <w:pPr>
        <w:pageBreakBefore w:val="false"/>
        <w:spacing w:before="61" w:after="0" w:line="217"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l'Ordonnance n°08/074 du 24 mai 2008 fixant les attributions des Ministères;</w:t>
      </w:r>
    </w:p>
    <w:p>
      <w:pPr>
        <w:pageBreakBefore w:val="false"/>
        <w:spacing w:before="56" w:after="0" w:line="217"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l'Ordonnance n° 67-416 du 23 septembre 1967 portant règlement minier;</w:t>
      </w:r>
    </w:p>
    <w:p>
      <w:pPr>
        <w:pageBreakBefore w:val="false"/>
        <w:spacing w:before="66" w:after="0" w:line="213"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l'Arrêté ministériel n° 011 CAB.MIN-HYDRO/CMK/2011 du 25 août 2011 portant ouverture à l'exploration des rendus du bloc Ndunda dans le bassin côtier de la République Démocratique du Congo:</w:t>
      </w:r>
    </w:p>
    <w:p>
      <w:pPr>
        <w:pageBreakBefore w:val="false"/>
        <w:spacing w:before="49" w:after="0" w:line="219" w:lineRule="exact"/>
        <w:ind w:right="0" w:left="0" w:firstLine="360"/>
        <w:jc w:val="both"/>
        <w:textAlignment w:val="baseline"/>
        <w:rPr>
          <w:rFonts w:ascii="Times New Roman" w:hAnsi="Times New Roman" w:eastAsia="Times New Roman"/>
          <w:color w:val="000000"/>
          <w:spacing w:val="2"/>
          <w:w w:val="100"/>
          <w:sz w:val="18"/>
          <w:vertAlign w:val="baseline"/>
          <w:lang w:val="fr-FR"/>
        </w:rPr>
      </w:pPr>
      <w:r>
        <w:rPr>
          <w:rFonts w:ascii="Times New Roman" w:hAnsi="Times New Roman" w:eastAsia="Times New Roman"/>
          <w:color w:val="000000"/>
          <w:spacing w:val="2"/>
          <w:w w:val="100"/>
          <w:sz w:val="18"/>
          <w:vertAlign w:val="baseline"/>
          <w:lang w:val="fr-FR"/>
        </w:rPr>
        <w:t xml:space="preserve">Revu J'Arrêté n° 008/MIN.HYD/CMK/10 du 05 octobre 2010 portant création et fixation dès coordonnées géographiques des contours d'un bloc pétrolier dénommé « Fosse de Boma» ouvert à l'exploration dans la zone des ex-rendus du bassin côtier;</w:t>
      </w:r>
    </w:p>
    <w:p>
      <w:pPr>
        <w:pageBreakBefore w:val="false"/>
        <w:spacing w:before="61" w:after="0" w:line="209"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Considérant la nécessité d'ouverture à l'exploration production pétrolière l'intégralité des ex- rendus du bassin côtier plus particulièrement le Fossé de Boma ;</w:t>
      </w:r>
    </w:p>
    <w:p>
      <w:pPr>
        <w:pageBreakBefore w:val="false"/>
        <w:spacing w:before="48" w:after="0" w:line="225"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Considérant que cet objectif passe par la déclaration de cette Zone en bloc pétrolier ouvert à l'exploration;</w:t>
      </w:r>
    </w:p>
    <w:p>
      <w:pPr>
        <w:pageBreakBefore w:val="false"/>
        <w:spacing w:before="60" w:after="0" w:line="215" w:lineRule="exact"/>
        <w:ind w:right="0" w:left="0"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Considérant l'intérêt manifesté par des sociétés pétrolières sur ce fossé;</w:t>
      </w:r>
    </w:p>
    <w:p>
      <w:pPr>
        <w:pageBreakBefore w:val="false"/>
        <w:spacing w:before="60" w:after="0" w:line="202" w:lineRule="exact"/>
        <w:ind w:right="0" w:left="360" w:firstLine="0"/>
        <w:jc w:val="left"/>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l'urgence,</w:t>
      </w:r>
    </w:p>
    <w:p>
      <w:pPr>
        <w:sectPr>
          <w:type w:val="continuous"/>
          <w:pgSz w:w="11904" w:h="16843" w:orient="portrait"/>
          <w:pgMar w:bottom="219" w:top="0" w:right="1306" w:left="818" w:header="720" w:footer="720"/>
          <w:cols w:sep="0" w:num="2" w:space="0" w:equalWidth="0">
            <w:col w:w="4689" w:space="402"/>
            <w:col w:w="4689" w:space="0"/>
          </w:cols>
          <w:titlePg w:val="false"/>
          <w:textDirection w:val="lrTb"/>
        </w:sectPr>
      </w:pPr>
    </w:p>
    <w:p>
      <w:pPr>
        <w:pageBreakBefore w:val="false"/>
        <w:tabs>
          <w:tab w:val="right" w:leader="none" w:pos="5400"/>
        </w:tabs>
        <w:spacing w:before="402" w:after="0" w:line="210" w:lineRule="exact"/>
        <w:ind w:right="0" w:left="0" w:firstLine="0"/>
        <w:jc w:val="left"/>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53	</w:t>
      </w:r>
      <w:r>
        <w:rPr>
          <w:rFonts w:ascii="Times New Roman" w:hAnsi="Times New Roman" w:eastAsia="Times New Roman"/>
          <w:color w:val="000000"/>
          <w:spacing w:val="0"/>
          <w:w w:val="100"/>
          <w:sz w:val="18"/>
          <w:vertAlign w:val="baseline"/>
          <w:lang w:val="fr-FR"/>
        </w:rPr>
        <w:t xml:space="preserve">54</w:t>
      </w:r>
    </w:p>
    <w:p>
      <w:pPr>
        <w:sectPr>
          <w:type w:val="continuous"/>
          <w:pgSz w:w="11904" w:h="16843" w:orient="portrait"/>
          <w:pgMar w:bottom="219" w:top="0" w:right="3521" w:left="2983" w:header="720" w:footer="720"/>
          <w:titlePg w:val="false"/>
          <w:textDirection w:val="lrTb"/>
        </w:sectPr>
      </w:pPr>
    </w:p>
    <w:p>
      <w:pPr>
        <w:pageBreakBefore w:val="false"/>
        <w:tabs>
          <w:tab w:val="left" w:leader="none" w:pos="2808"/>
          <w:tab w:val="right" w:leader="none" w:pos="9720"/>
        </w:tabs>
        <w:spacing w:before="1317" w:after="0" w:line="468" w:lineRule="exact"/>
        <w:ind w:right="0" w:left="72" w:firstLine="0"/>
        <w:jc w:val="left"/>
        <w:textAlignment w:val="baseline"/>
        <w:rPr>
          <w:rFonts w:ascii="Times New Roman" w:hAnsi="Times New Roman" w:eastAsia="Times New Roman"/>
          <w:color w:val="000000"/>
          <w:spacing w:val="0"/>
          <w:w w:val="100"/>
          <w:sz w:val="18"/>
          <w:vertAlign w:val="baseline"/>
          <w:lang w:val="fr-FR"/>
        </w:rPr>
      </w:pPr>
      <w:r>
        <w:pict>
          <v:shapetype id="_x0000_t2" coordsize="21600,21600" o:spt="202" path="m,l,21600r21600,l21600,xe">
            <v:stroke joinstyle="miter"/>
            <v:path gradientshapeok="t" o:connecttype="rect"/>
          </v:shapetype>
          <v:shape id="_x0000_s1" type="#_x0000_t2" filled="f" stroked="f" style="position:absolute;width:595.2pt;height:817.9pt;z-index:-999;margin-left:0pt;margin-top:0pt;mso-wrap-distance-left:0pt;mso-wrap-distance-right:0pt;mso-position-horizontal-relative:page;mso-position-vertical-relative:page">
            <v:fill opacity="1" o:opacity2="1" recolor="f" rotate="f" type="solid"/>
            <v:textbox inset="0pt, 0pt, 0pt, 0pt">
              <w:txbxContent>
                <w:p>
                  <w:pPr>
                    <w:pBdr>
                      <w:top w:sz="2" w:space="0" w:color="000000" w:val="single"/>
                      <w:left w:sz="2" w:space="0" w:color="000000" w:val="single"/>
                      <w:bottom w:sz="2" w:space="0" w:color="000000" w:val="single"/>
                      <w:right w:sz="2" w:space="0" w:color="000000" w:val="single"/>
                    </w:pBdr>
                  </w:pPr>
                </w:p>
              </w:txbxContent>
            </v:textbox>
          </v:shape>
        </w:pict>
      </w:r>
      <w:r>
        <w:pict>
          <v:line strokeweight="0.95pt" strokecolor="#000000" from="42.7pt,79.2pt" to="531.75pt,79.2pt" style="position:absolute;mso-position-horizontal-relative:page;mso-position-vertical-relative:page;">
            <v:stroke dashstyle="solid"/>
          </v:line>
        </w:pict>
      </w:r>
      <w:r>
        <w:rPr>
          <w:rFonts w:ascii="Times New Roman" w:hAnsi="Times New Roman" w:eastAsia="Times New Roman"/>
          <w:color w:val="000000"/>
          <w:spacing w:val="0"/>
          <w:w w:val="100"/>
          <w:sz w:val="18"/>
          <w:vertAlign w:val="baseline"/>
          <w:lang w:val="fr-FR"/>
        </w:rPr>
        <w:t xml:space="preserve">15 novembre 2011	</w:t>
      </w:r>
      <w:r>
        <w:rPr>
          <w:rFonts w:ascii="Times New Roman" w:hAnsi="Times New Roman" w:eastAsia="Times New Roman"/>
          <w:color w:val="000000"/>
          <w:spacing w:val="0"/>
          <w:w w:val="100"/>
          <w:sz w:val="18"/>
          <w:vertAlign w:val="baseline"/>
          <w:lang w:val="fr-FR"/>
        </w:rPr>
        <w:t xml:space="preserve">Journal Officiel de la République Démocratique du Congo	</w:t>
      </w:r>
      <w:r>
        <w:rPr>
          <w:rFonts w:ascii="Times New Roman" w:hAnsi="Times New Roman" w:eastAsia="Times New Roman"/>
          <w:i w:val="true"/>
          <w:color w:val="000000"/>
          <w:spacing w:val="0"/>
          <w:w w:val="100"/>
          <w:sz w:val="18"/>
          <w:vertAlign w:val="baseline"/>
          <w:lang w:val="fr-FR"/>
        </w:rPr>
        <w:t xml:space="preserve">Première partie - </w:t>
      </w:r>
      <w:r>
        <w:rPr>
          <w:rFonts w:ascii="Times New Roman" w:hAnsi="Times New Roman" w:eastAsia="Times New Roman"/>
          <w:color w:val="000000"/>
          <w:spacing w:val="0"/>
          <w:w w:val="100"/>
          <w:sz w:val="18"/>
          <w:vertAlign w:val="baseline"/>
          <w:lang w:val="fr-FR"/>
        </w:rPr>
        <w:t xml:space="preserve">numéro 22</w:t>
      </w:r>
    </w:p>
    <w:p>
      <w:pPr>
        <w:sectPr>
          <w:type w:val="nextPage"/>
          <w:pgSz w:w="11904" w:h="16843" w:orient="portrait"/>
          <w:pgMar w:bottom="339" w:top="0" w:right="1270" w:left="854" w:header="720" w:footer="720"/>
          <w:titlePg w:val="false"/>
          <w:textDirection w:val="lrTb"/>
        </w:sectPr>
      </w:pPr>
    </w:p>
    <w:p>
      <w:pPr>
        <w:pageBreakBefore w:val="false"/>
        <w:spacing w:before="0" w:after="0" w:line="350"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ARRETE:</w:t>
        <w:br/>
      </w:r>
      <w:r>
        <w:rPr>
          <w:rFonts w:ascii="Times New Roman" w:hAnsi="Times New Roman" w:eastAsia="Times New Roman"/>
          <w:color w:val="000000"/>
          <w:spacing w:val="0"/>
          <w:w w:val="100"/>
          <w:sz w:val="18"/>
          <w:vertAlign w:val="baseline"/>
          <w:lang w:val="fr-FR"/>
        </w:rPr>
        <w:t xml:space="preserve">Article ter :</w:t>
      </w:r>
    </w:p>
    <w:p>
      <w:pPr>
        <w:pageBreakBefore w:val="false"/>
        <w:spacing w:before="66" w:after="0" w:line="211"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Le « Fossé de Borna » bloc pétrolier ouvert à l'exploration créé dans le Bassin Côtier, couvre une superficie d'environ 744 Km2.</w:t>
      </w:r>
    </w:p>
    <w:p>
      <w:pPr>
        <w:pageBreakBefore w:val="false"/>
        <w:spacing w:before="293" w:after="0" w:line="209" w:lineRule="exact"/>
        <w:ind w:right="0" w:left="0" w:firstLine="0"/>
        <w:jc w:val="center"/>
        <w:textAlignment w:val="baseline"/>
        <w:rPr>
          <w:rFonts w:ascii="Times New Roman" w:hAnsi="Times New Roman" w:eastAsia="Times New Roman"/>
          <w:color w:val="000000"/>
          <w:spacing w:val="-1"/>
          <w:w w:val="100"/>
          <w:sz w:val="18"/>
          <w:vertAlign w:val="baseline"/>
          <w:lang w:val="fr-FR"/>
        </w:rPr>
      </w:pPr>
      <w:r>
        <w:rPr>
          <w:rFonts w:ascii="Times New Roman" w:hAnsi="Times New Roman" w:eastAsia="Times New Roman"/>
          <w:color w:val="000000"/>
          <w:spacing w:val="-1"/>
          <w:w w:val="100"/>
          <w:sz w:val="18"/>
          <w:vertAlign w:val="baseline"/>
          <w:lang w:val="fr-FR"/>
        </w:rPr>
        <w:t xml:space="preserve">Article 2:</w:t>
      </w:r>
    </w:p>
    <w:p>
      <w:pPr>
        <w:pageBreakBefore w:val="false"/>
        <w:spacing w:before="58" w:after="35" w:line="213"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Les coordonnées géographiques des sommets délimitant le Bloc « Fossé de Borna », dont carte en annexe sont.</w:t>
      </w:r>
    </w:p>
    <w:tbl>
      <w:tblPr>
        <w:jc w:val="left"/>
        <w:tblInd w:w="18" w:type="dxa"/>
        <w:tblLayout w:type="fixed"/>
        <w:tblCellMar>
          <w:left w:w="0" w:type="dxa"/>
          <w:right w:w="0" w:type="dxa"/>
        </w:tblCellMar>
      </w:tblPr>
      <w:tblGrid>
        <w:gridCol w:w="494"/>
        <w:gridCol w:w="1167"/>
        <w:gridCol w:w="1569"/>
        <w:gridCol w:w="1575"/>
      </w:tblGrid>
      <w:tr>
        <w:trPr>
          <w:trHeight w:val="20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8"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N°</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Bornes</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9" w:line="159"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Latitude (WGS84)</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9" w:line="157"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Longitude (WGS84)</w:t>
            </w:r>
          </w:p>
        </w:tc>
      </w:tr>
      <w:tr>
        <w:trPr>
          <w:trHeight w:val="196"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52"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52"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52"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05°38'53"</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52"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012°47'32"</w:t>
            </w:r>
          </w:p>
        </w:tc>
      </w:tr>
      <w:tr>
        <w:trPr>
          <w:trHeight w:val="20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4"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2</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4"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2</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4"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05°38'51"</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4"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012°47'52"</w:t>
            </w:r>
          </w:p>
        </w:tc>
      </w:tr>
      <w:tr>
        <w:trPr>
          <w:trHeight w:val="19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3</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3</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05°38'14"</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w:t>
            </w:r>
            <w:r>
              <w:rPr>
                <w:rFonts w:ascii="Verdana" w:hAnsi="Verdana" w:eastAsia="Verdana"/>
                <w:color w:val="000000"/>
                <w:spacing w:val="0"/>
                <w:w w:val="100"/>
                <w:sz w:val="13"/>
                <w:vertAlign w:val="superscript"/>
                <w:lang w:val="fr-FR"/>
              </w:rPr>
              <w:t xml:space="preserve">°</w:t>
            </w:r>
            <w:r>
              <w:rPr>
                <w:rFonts w:ascii="Verdana" w:hAnsi="Verdana" w:eastAsia="Verdana"/>
                <w:color w:val="000000"/>
                <w:spacing w:val="0"/>
                <w:w w:val="100"/>
                <w:sz w:val="13"/>
                <w:vertAlign w:val="baseline"/>
                <w:lang w:val="fr-FR"/>
              </w:rPr>
              <w:t xml:space="preserve">48'16"</w:t>
            </w:r>
          </w:p>
        </w:tc>
      </w:tr>
      <w:tr>
        <w:trPr>
          <w:trHeight w:val="19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4</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4</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05°37'23"</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2"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012°48'31</w:t>
            </w:r>
          </w:p>
        </w:tc>
      </w:tr>
      <w:tr>
        <w:trPr>
          <w:trHeight w:val="187"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4"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5</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4"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5</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2"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05°37'10"</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52"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012°49'02"</w:t>
            </w:r>
          </w:p>
        </w:tc>
      </w:tr>
      <w:tr>
        <w:trPr>
          <w:trHeight w:val="197"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6</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6</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05°34'27"</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012°50'59"</w:t>
            </w:r>
          </w:p>
        </w:tc>
      </w:tr>
      <w:tr>
        <w:trPr>
          <w:trHeight w:val="19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7</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7</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05°34'06"</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012°49'52 "</w:t>
            </w:r>
          </w:p>
        </w:tc>
      </w:tr>
      <w:tr>
        <w:trPr>
          <w:trHeight w:val="187"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9"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8</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4"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8</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5"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05°34'03"</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4"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012°49'30"</w:t>
            </w:r>
          </w:p>
        </w:tc>
      </w:tr>
      <w:tr>
        <w:trPr>
          <w:trHeight w:val="197"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8"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9</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9</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8"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05°32'51"</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8"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012°47'59"</w:t>
            </w:r>
          </w:p>
        </w:tc>
      </w:tr>
      <w:tr>
        <w:trPr>
          <w:trHeight w:val="20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1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10</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13"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10</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13"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05°30'51"</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13"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012°4731"</w:t>
            </w:r>
          </w:p>
        </w:tc>
      </w:tr>
      <w:tr>
        <w:trPr>
          <w:trHeight w:val="196"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11</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11</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w:t>
            </w:r>
            <w:r>
              <w:rPr>
                <w:rFonts w:ascii="Verdana" w:hAnsi="Verdana" w:eastAsia="Verdana"/>
                <w:color w:val="000000"/>
                <w:spacing w:val="0"/>
                <w:w w:val="100"/>
                <w:sz w:val="13"/>
                <w:vertAlign w:val="superscript"/>
                <w:lang w:val="fr-FR"/>
              </w:rPr>
              <w:t xml:space="preserve">°</w:t>
            </w:r>
            <w:r>
              <w:rPr>
                <w:rFonts w:ascii="Verdana" w:hAnsi="Verdana" w:eastAsia="Verdana"/>
                <w:color w:val="000000"/>
                <w:spacing w:val="0"/>
                <w:w w:val="100"/>
                <w:sz w:val="13"/>
                <w:vertAlign w:val="baseline"/>
                <w:lang w:val="fr-FR"/>
              </w:rPr>
              <w:t xml:space="preserve">29'29"</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w:t>
            </w:r>
            <w:r>
              <w:rPr>
                <w:rFonts w:ascii="Verdana" w:hAnsi="Verdana" w:eastAsia="Verdana"/>
                <w:color w:val="000000"/>
                <w:spacing w:val="0"/>
                <w:w w:val="100"/>
                <w:sz w:val="13"/>
                <w:vertAlign w:val="superscript"/>
                <w:lang w:val="fr-FR"/>
              </w:rPr>
              <w:t xml:space="preserve">°</w:t>
            </w:r>
            <w:r>
              <w:rPr>
                <w:rFonts w:ascii="Verdana" w:hAnsi="Verdana" w:eastAsia="Verdana"/>
                <w:color w:val="000000"/>
                <w:spacing w:val="0"/>
                <w:w w:val="100"/>
                <w:sz w:val="13"/>
                <w:vertAlign w:val="baseline"/>
                <w:lang w:val="fr-FR"/>
              </w:rPr>
              <w:t xml:space="preserve">47'55"</w:t>
            </w:r>
          </w:p>
        </w:tc>
      </w:tr>
      <w:tr>
        <w:trPr>
          <w:trHeight w:val="19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8"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12</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12</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05°29'25"</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6"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012°48'47"</w:t>
            </w:r>
          </w:p>
        </w:tc>
      </w:tr>
      <w:tr>
        <w:trPr>
          <w:trHeight w:val="188"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13</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1"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13</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05°29'46"</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0"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012°49'52"</w:t>
            </w:r>
          </w:p>
        </w:tc>
      </w:tr>
      <w:tr>
        <w:trPr>
          <w:trHeight w:val="19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14</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14</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05°29'40"</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012°51'55"</w:t>
            </w:r>
          </w:p>
        </w:tc>
      </w:tr>
      <w:tr>
        <w:trPr>
          <w:trHeight w:val="187"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15</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15</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05°28'48"</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012°52'06"</w:t>
            </w:r>
          </w:p>
        </w:tc>
      </w:tr>
      <w:tr>
        <w:trPr>
          <w:trHeight w:val="19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16</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51"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16</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51"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05°28'03"</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51"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012°52'06"</w:t>
            </w:r>
          </w:p>
        </w:tc>
      </w:tr>
      <w:tr>
        <w:trPr>
          <w:trHeight w:val="19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17</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17</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1"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05°27'36"</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012°52'15"</w:t>
            </w:r>
          </w:p>
        </w:tc>
      </w:tr>
      <w:tr>
        <w:trPr>
          <w:trHeight w:val="197"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1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18</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18</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4"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05°27'36"</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4"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012°53'24"</w:t>
            </w:r>
          </w:p>
        </w:tc>
      </w:tr>
      <w:tr>
        <w:trPr>
          <w:trHeight w:val="196"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19</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19</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9"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05°37'12"</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012°53'24"</w:t>
            </w:r>
          </w:p>
        </w:tc>
      </w:tr>
      <w:tr>
        <w:trPr>
          <w:trHeight w:val="188"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20</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20</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05°43'12"</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013°04'12"</w:t>
            </w:r>
          </w:p>
        </w:tc>
      </w:tr>
      <w:tr>
        <w:trPr>
          <w:trHeight w:val="187"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8"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21</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7"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FB 21</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4"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95°52'48"</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3"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013°10'12"</w:t>
            </w:r>
          </w:p>
        </w:tc>
      </w:tr>
      <w:tr>
        <w:trPr>
          <w:trHeight w:val="197"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22</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8"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EL5</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3"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05°42'35"</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1"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012°53'25"</w:t>
            </w:r>
          </w:p>
        </w:tc>
      </w:tr>
      <w:tr>
        <w:trPr>
          <w:trHeight w:val="201"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7"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23</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7"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EL 6</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7"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05°40'45"</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17"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012°53'25"</w:t>
            </w:r>
          </w:p>
        </w:tc>
      </w:tr>
      <w:tr>
        <w:trPr>
          <w:trHeight w:val="19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9"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24</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9"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EL 7</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9"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05°40'00"</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9"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012°47'40"</w:t>
            </w:r>
          </w:p>
        </w:tc>
      </w:tr>
      <w:tr>
        <w:trPr>
          <w:trHeight w:val="19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4"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25</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4"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DF 1</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4"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05°42'27, 66"</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52"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12°54'49,68"</w:t>
            </w:r>
          </w:p>
        </w:tc>
      </w:tr>
      <w:tr>
        <w:trPr>
          <w:trHeight w:val="202" w:hRule="exact"/>
        </w:trPr>
        <w:tc>
          <w:tcPr>
            <w:tcW w:w="5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3" w:line="153" w:lineRule="exact"/>
              <w:ind w:right="0" w:left="0" w:firstLine="0"/>
              <w:jc w:val="center"/>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26</w:t>
            </w:r>
          </w:p>
        </w:tc>
        <w:tc>
          <w:tcPr>
            <w:tcW w:w="1679"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3" w:line="153" w:lineRule="exact"/>
              <w:ind w:right="619" w:left="0" w:firstLine="0"/>
              <w:jc w:val="righ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DF 2</w:t>
            </w:r>
          </w:p>
        </w:tc>
        <w:tc>
          <w:tcPr>
            <w:tcW w:w="3248"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1" w:after="3" w:line="153" w:lineRule="exact"/>
              <w:ind w:right="0" w:left="105"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S 05°56'00, 96"</w:t>
            </w:r>
          </w:p>
        </w:tc>
        <w:tc>
          <w:tcPr>
            <w:tcW w:w="48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2" w:after="2" w:line="153" w:lineRule="exact"/>
              <w:ind w:right="0" w:left="106" w:firstLine="0"/>
              <w:jc w:val="left"/>
              <w:textAlignment w:val="baseline"/>
              <w:rPr>
                <w:rFonts w:ascii="Verdana" w:hAnsi="Verdana" w:eastAsia="Verdana"/>
                <w:color w:val="000000"/>
                <w:spacing w:val="0"/>
                <w:w w:val="100"/>
                <w:sz w:val="13"/>
                <w:vertAlign w:val="baseline"/>
                <w:lang w:val="fr-FR"/>
              </w:rPr>
            </w:pPr>
            <w:r>
              <w:rPr>
                <w:rFonts w:ascii="Verdana" w:hAnsi="Verdana" w:eastAsia="Verdana"/>
                <w:color w:val="000000"/>
                <w:spacing w:val="0"/>
                <w:w w:val="100"/>
                <w:sz w:val="13"/>
                <w:vertAlign w:val="baseline"/>
                <w:lang w:val="fr-FR"/>
              </w:rPr>
              <w:t xml:space="preserve">E 12°54'49, 68"</w:t>
            </w:r>
          </w:p>
        </w:tc>
      </w:tr>
    </w:tbl>
    <w:p>
      <w:pPr>
        <w:spacing w:before="0" w:after="272" w:line="20" w:lineRule="exact"/>
      </w:pPr>
    </w:p>
    <w:p>
      <w:pPr>
        <w:pageBreakBefore w:val="false"/>
        <w:spacing w:before="0" w:after="0" w:line="204"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Article 3 :</w:t>
      </w:r>
    </w:p>
    <w:p>
      <w:pPr>
        <w:pageBreakBefore w:val="false"/>
        <w:spacing w:before="55" w:after="0" w:line="219"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La demande de permis d'exploration sur le bloc « Fossé de Borna » est soumise au dépôt, par la société intéressée, du rapport final consacrant l'arrivée à terme du protocole d'accord d'accès aux données signé par l'Etat.</w:t>
      </w:r>
    </w:p>
    <w:p>
      <w:pPr>
        <w:pageBreakBefore w:val="false"/>
        <w:spacing w:before="288" w:after="0" w:line="209"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Article 4 :</w:t>
      </w:r>
    </w:p>
    <w:p>
      <w:pPr>
        <w:pageBreakBefore w:val="false"/>
        <w:spacing w:before="59" w:after="0" w:line="216" w:lineRule="exact"/>
        <w:ind w:right="72" w:left="72" w:firstLine="360"/>
        <w:jc w:val="both"/>
        <w:textAlignment w:val="baseline"/>
        <w:rPr>
          <w:rFonts w:ascii="Times New Roman" w:hAnsi="Times New Roman" w:eastAsia="Times New Roman"/>
          <w:color w:val="000000"/>
          <w:spacing w:val="2"/>
          <w:w w:val="100"/>
          <w:sz w:val="18"/>
          <w:vertAlign w:val="baseline"/>
          <w:lang w:val="fr-FR"/>
        </w:rPr>
      </w:pPr>
      <w:r>
        <w:rPr>
          <w:rFonts w:ascii="Times New Roman" w:hAnsi="Times New Roman" w:eastAsia="Times New Roman"/>
          <w:color w:val="000000"/>
          <w:spacing w:val="2"/>
          <w:w w:val="100"/>
          <w:sz w:val="18"/>
          <w:vertAlign w:val="baseline"/>
          <w:lang w:val="fr-FR"/>
        </w:rPr>
        <w:t xml:space="preserve">Dans le cas où plusieurs sociétés ont accédé aux données techniques et présenté chacune un rapport final d'interprétation des données, techniques, les demandes concurrentes éventuelles tendant à obtenir des droits miniers pour hydrocarbures sur le « Fossé de Borna » seront examinés par une commission mise en place à cet effet.</w:t>
      </w:r>
    </w:p>
    <w:p>
      <w:pPr>
        <w:pageBreakBefore w:val="false"/>
        <w:spacing w:before="48" w:after="0" w:line="221" w:lineRule="exact"/>
        <w:ind w:right="72" w:left="72" w:firstLine="360"/>
        <w:jc w:val="both"/>
        <w:textAlignment w:val="baseline"/>
        <w:rPr>
          <w:rFonts w:ascii="Times New Roman" w:hAnsi="Times New Roman" w:eastAsia="Times New Roman"/>
          <w:color w:val="000000"/>
          <w:spacing w:val="1"/>
          <w:w w:val="100"/>
          <w:sz w:val="18"/>
          <w:vertAlign w:val="baseline"/>
          <w:lang w:val="fr-FR"/>
        </w:rPr>
      </w:pPr>
      <w:r>
        <w:rPr>
          <w:rFonts w:ascii="Times New Roman" w:hAnsi="Times New Roman" w:eastAsia="Times New Roman"/>
          <w:color w:val="000000"/>
          <w:spacing w:val="1"/>
          <w:w w:val="100"/>
          <w:sz w:val="18"/>
          <w:vertAlign w:val="baseline"/>
          <w:lang w:val="fr-FR"/>
        </w:rPr>
        <w:t xml:space="preserve">Sur avis technique motivé, la commission dont question à l'alinéa précédent proposera au Ministre ayant les Hydrocarbures dans ses attributions, les modalités de mise en association des sociétés en concurrentes.</w:t>
      </w:r>
    </w:p>
    <w:p>
      <w:pPr>
        <w:pageBreakBefore w:val="false"/>
        <w:spacing w:before="283" w:after="0" w:line="209"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Article 5 :</w:t>
      </w:r>
    </w:p>
    <w:p>
      <w:pPr>
        <w:pageBreakBefore w:val="false"/>
        <w:spacing w:before="65" w:after="0" w:line="211"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Toutes les dispositions antérieures contraires au présent Arrêté sont abrogées,</w:t>
      </w:r>
    </w:p>
    <w:p>
      <w:pPr>
        <w:pageBreakBefore w:val="false"/>
        <w:spacing w:before="1231" w:after="0" w:line="203" w:lineRule="exact"/>
        <w:ind w:right="0" w:left="0" w:firstLine="0"/>
        <w:jc w:val="center"/>
        <w:textAlignment w:val="baseline"/>
        <w:rPr>
          <w:rFonts w:ascii="Times New Roman" w:hAnsi="Times New Roman" w:eastAsia="Times New Roman"/>
          <w:color w:val="000000"/>
          <w:spacing w:val="31"/>
          <w:w w:val="100"/>
          <w:sz w:val="18"/>
          <w:vertAlign w:val="baseline"/>
          <w:lang w:val="fr-FR"/>
        </w:rPr>
      </w:pPr>
      <w:r>
        <w:rPr>
          <w:rFonts w:ascii="Times New Roman" w:hAnsi="Times New Roman" w:eastAsia="Times New Roman"/>
          <w:color w:val="000000"/>
          <w:spacing w:val="31"/>
          <w:w w:val="100"/>
          <w:sz w:val="18"/>
          <w:vertAlign w:val="baseline"/>
          <w:lang w:val="fr-FR"/>
        </w:rPr>
        <w:t xml:space="preserve">55</w:t>
      </w:r>
    </w:p>
    <w:p>
      <w:pPr>
        <w:pageBreakBefore w:val="false"/>
        <w:spacing w:before="58" w:after="0" w:line="209" w:lineRule="exact"/>
        <w:ind w:right="72" w:left="72" w:firstLine="0"/>
        <w:jc w:val="center"/>
        <w:textAlignment w:val="baseline"/>
        <w:rPr>
          <w:rFonts w:ascii="Times New Roman" w:hAnsi="Times New Roman" w:eastAsia="Times New Roman"/>
          <w:color w:val="000000"/>
          <w:spacing w:val="0"/>
          <w:w w:val="100"/>
          <w:sz w:val="18"/>
          <w:vertAlign w:val="baseline"/>
          <w:lang w:val="fr-FR"/>
        </w:rPr>
      </w:pPr>
      <w:r>
        <w:br w:type="column"/>
      </w:r>
      <w:r>
        <w:rPr>
          <w:rFonts w:ascii="Times New Roman" w:hAnsi="Times New Roman" w:eastAsia="Times New Roman"/>
          <w:color w:val="000000"/>
          <w:spacing w:val="0"/>
          <w:w w:val="100"/>
          <w:sz w:val="18"/>
          <w:vertAlign w:val="baseline"/>
          <w:lang w:val="fr-FR"/>
        </w:rPr>
        <w:t xml:space="preserve">Article 6 :</w:t>
      </w:r>
    </w:p>
    <w:p>
      <w:pPr>
        <w:pageBreakBefore w:val="false"/>
        <w:spacing w:before="63" w:after="0" w:line="214"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Le Secrétaire Général aux Hydrocarbures est chargé de l'exécution du présent Arrêté qui entre en vigueur à la date de sa signature.</w:t>
      </w:r>
    </w:p>
    <w:p>
      <w:pPr>
        <w:pageBreakBefore w:val="false"/>
        <w:spacing w:before="0" w:after="517" w:line="271" w:lineRule="exact"/>
        <w:ind w:right="504" w:left="2088" w:hanging="360"/>
        <w:jc w:val="left"/>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Fait à Kinshasa, le 12 octobre 2011 Celestin Mbuyu Kabango</w:t>
      </w:r>
    </w:p>
    <w:p>
      <w:pPr>
        <w:pageBreakBefore w:val="false"/>
        <w:spacing w:before="490" w:after="0" w:line="213" w:lineRule="exact"/>
        <w:ind w:right="72" w:left="72" w:firstLine="0"/>
        <w:jc w:val="center"/>
        <w:textAlignment w:val="baseline"/>
        <w:rPr>
          <w:rFonts w:ascii="Times New Roman" w:hAnsi="Times New Roman" w:eastAsia="Times New Roman"/>
          <w:i w:val="true"/>
          <w:color w:val="000000"/>
          <w:spacing w:val="1"/>
          <w:w w:val="100"/>
          <w:sz w:val="18"/>
          <w:vertAlign w:val="baseline"/>
          <w:lang w:val="fr-FR"/>
        </w:rPr>
      </w:pPr>
      <w:r>
        <w:pict>
          <v:line strokeweight="0.5pt" strokecolor="#000000" from="390.7pt,192pt" to="437.35pt,192pt" style="position:absolute;mso-position-horizontal-relative:page;mso-position-vertical-relative:page;">
            <v:stroke dashstyle="solid"/>
          </v:line>
        </w:pict>
      </w:r>
      <w:r>
        <w:rPr>
          <w:rFonts w:ascii="Times New Roman" w:hAnsi="Times New Roman" w:eastAsia="Times New Roman"/>
          <w:i w:val="true"/>
          <w:color w:val="000000"/>
          <w:spacing w:val="1"/>
          <w:w w:val="100"/>
          <w:sz w:val="18"/>
          <w:vertAlign w:val="baseline"/>
          <w:lang w:val="fr-FR"/>
        </w:rPr>
        <w:t xml:space="preserve">Ministère des Affaires Foncières</w:t>
      </w:r>
    </w:p>
    <w:p>
      <w:pPr>
        <w:pageBreakBefore w:val="false"/>
        <w:spacing w:before="151" w:after="0" w:line="213" w:lineRule="exact"/>
        <w:ind w:right="72" w:left="72" w:firstLine="360"/>
        <w:jc w:val="both"/>
        <w:textAlignment w:val="baseline"/>
        <w:rPr>
          <w:rFonts w:ascii="Times New Roman" w:hAnsi="Times New Roman" w:eastAsia="Times New Roman"/>
          <w:b w:val="true"/>
          <w:color w:val="000000"/>
          <w:spacing w:val="0"/>
          <w:w w:val="100"/>
          <w:sz w:val="18"/>
          <w:vertAlign w:val="baseline"/>
          <w:lang w:val="fr-FR"/>
        </w:rPr>
      </w:pPr>
      <w:r>
        <w:rPr>
          <w:rFonts w:ascii="Times New Roman" w:hAnsi="Times New Roman" w:eastAsia="Times New Roman"/>
          <w:b w:val="true"/>
          <w:color w:val="000000"/>
          <w:spacing w:val="0"/>
          <w:w w:val="100"/>
          <w:sz w:val="18"/>
          <w:vertAlign w:val="baseline"/>
          <w:lang w:val="fr-FR"/>
        </w:rPr>
        <w:t xml:space="preserve">Arrêté ministériel n° 205/CAB/MIN/AFF.FONC/2011 du 18 août 2011 portant création d'une parcelle de terre n° 59717 à usage agricole du plan cadastral de la Commune de Mont-Ngafula, Ville de Kinshasa.</w:t>
      </w:r>
    </w:p>
    <w:p>
      <w:pPr>
        <w:pageBreakBefore w:val="false"/>
        <w:spacing w:before="38" w:after="0" w:line="324" w:lineRule="exact"/>
        <w:ind w:right="1008" w:left="432" w:firstLine="648"/>
        <w:jc w:val="left"/>
        <w:textAlignment w:val="baseline"/>
        <w:rPr>
          <w:rFonts w:ascii="Times New Roman" w:hAnsi="Times New Roman" w:eastAsia="Times New Roman"/>
          <w:i w:val="true"/>
          <w:color w:val="000000"/>
          <w:spacing w:val="0"/>
          <w:w w:val="100"/>
          <w:sz w:val="18"/>
          <w:vertAlign w:val="baseline"/>
          <w:lang w:val="fr-FR"/>
        </w:rPr>
      </w:pPr>
      <w:r>
        <w:rPr>
          <w:rFonts w:ascii="Times New Roman" w:hAnsi="Times New Roman" w:eastAsia="Times New Roman"/>
          <w:i w:val="true"/>
          <w:color w:val="000000"/>
          <w:spacing w:val="0"/>
          <w:w w:val="100"/>
          <w:sz w:val="18"/>
          <w:vertAlign w:val="baseline"/>
          <w:lang w:val="fr-FR"/>
        </w:rPr>
        <w:t xml:space="preserve">Le Ministre des Affaires Foncières, </w:t>
      </w:r>
      <w:r>
        <w:rPr>
          <w:rFonts w:ascii="Times New Roman" w:hAnsi="Times New Roman" w:eastAsia="Times New Roman"/>
          <w:color w:val="000000"/>
          <w:spacing w:val="0"/>
          <w:w w:val="100"/>
          <w:sz w:val="18"/>
          <w:vertAlign w:val="baseline"/>
          <w:lang w:val="fr-FR"/>
        </w:rPr>
        <w:t xml:space="preserve">Vu la Constitution, spécialement l'article 93 ;</w:t>
      </w:r>
    </w:p>
    <w:p>
      <w:pPr>
        <w:pageBreakBefore w:val="false"/>
        <w:spacing w:before="64" w:after="0" w:line="217"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la Loi n° 73/021 du 20 juillet 1973 portant régime général des biens, régime foncier et immobilier et régime des sûretés, telle que modifiée et complétée par la Loi n° 80/008 du 18 juillet 1980 ;</w:t>
      </w:r>
    </w:p>
    <w:p>
      <w:pPr>
        <w:pageBreakBefore w:val="false"/>
        <w:spacing w:before="56" w:after="0" w:line="214"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l'Ordonnance n° 74-148 du 02 juillet 1974 portant mesures d'exécution de la Loi n° 73/021 du 20 juillet 1973 portant régime général des biens, régime foncier et immobilier et régime des sûretés, telle que modifiée et complétée ;</w:t>
      </w:r>
    </w:p>
    <w:p>
      <w:pPr>
        <w:pageBreakBefore w:val="false"/>
        <w:spacing w:before="54" w:after="0" w:line="217"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l'Ordonnance n°08/073 du 24 décembre 2008 portant organisation et fonctionnement du Gouvernement, modalités pratiques de collaboration entre le Président de la République et le Gouvernement ;</w:t>
      </w:r>
    </w:p>
    <w:p>
      <w:pPr>
        <w:pageBreakBefore w:val="false"/>
        <w:spacing w:before="56" w:after="0" w:line="218"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l'Ordonnance n° 08/074 du 24 décembre 2008 fixant les attributions des Ministères, spécialement en son article l</w:t>
      </w:r>
      <w:r>
        <w:rPr>
          <w:rFonts w:ascii="Times New Roman" w:hAnsi="Times New Roman" w:eastAsia="Times New Roman"/>
          <w:color w:val="000000"/>
          <w:spacing w:val="0"/>
          <w:w w:val="100"/>
          <w:sz w:val="18"/>
          <w:vertAlign w:val="superscript"/>
          <w:lang w:val="fr-FR"/>
        </w:rPr>
        <w:t xml:space="preserve">er</w:t>
      </w:r>
      <w:r>
        <w:rPr>
          <w:rFonts w:ascii="Times New Roman" w:hAnsi="Times New Roman" w:eastAsia="Times New Roman"/>
          <w:color w:val="000000"/>
          <w:spacing w:val="0"/>
          <w:w w:val="100"/>
          <w:sz w:val="18"/>
          <w:vertAlign w:val="baseline"/>
          <w:lang w:val="fr-FR"/>
        </w:rPr>
        <w:t xml:space="preserve">, point B, numéro 26 ;</w:t>
      </w:r>
    </w:p>
    <w:p>
      <w:pPr>
        <w:pageBreakBefore w:val="false"/>
        <w:spacing w:before="52" w:after="0" w:line="216"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l'Ordonnance n° 10/025 du 19 février 2010 portant nomination des Vice-premiers Ministres, des Ministres et des Vice-ministres ;</w:t>
      </w:r>
    </w:p>
    <w:p>
      <w:pPr>
        <w:pageBreakBefore w:val="false"/>
        <w:spacing w:before="63" w:after="0" w:line="216" w:lineRule="exact"/>
        <w:ind w:right="72" w:left="72" w:firstLine="360"/>
        <w:jc w:val="both"/>
        <w:textAlignment w:val="baseline"/>
        <w:rPr>
          <w:rFonts w:ascii="Times New Roman" w:hAnsi="Times New Roman" w:eastAsia="Times New Roman"/>
          <w:color w:val="000000"/>
          <w:spacing w:val="4"/>
          <w:w w:val="100"/>
          <w:sz w:val="18"/>
          <w:vertAlign w:val="baseline"/>
          <w:lang w:val="fr-FR"/>
        </w:rPr>
      </w:pPr>
      <w:r>
        <w:rPr>
          <w:rFonts w:ascii="Times New Roman" w:hAnsi="Times New Roman" w:eastAsia="Times New Roman"/>
          <w:color w:val="000000"/>
          <w:spacing w:val="4"/>
          <w:w w:val="100"/>
          <w:sz w:val="18"/>
          <w:vertAlign w:val="baseline"/>
          <w:lang w:val="fr-FR"/>
        </w:rPr>
        <w:t xml:space="preserve">Vu l'Arrêté interministériel n° 129/CAB/MIN/AFF. FONC/2011 et n° 095 CAB/MIN/FINANCES/2011 du 29 mars 2011 portant fixation des taux des droits, taxes et redevances à percevoir à l'initiative du Ministère des Affaires Foncières ;</w:t>
      </w:r>
    </w:p>
    <w:p>
      <w:pPr>
        <w:pageBreakBefore w:val="false"/>
        <w:spacing w:before="51" w:after="0" w:line="219"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Vu le dossier constitué au nom de la ferme de la Lukaya, représentée par Madame Dokolo Nkembi pour l'exploitation d'une concession à usage agricole.</w:t>
      </w:r>
    </w:p>
    <w:p>
      <w:pPr>
        <w:pageBreakBefore w:val="false"/>
        <w:spacing w:before="60" w:after="0" w:line="499" w:lineRule="exact"/>
        <w:ind w:right="72" w:left="72"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ARRETE:</w:t>
        <w:br/>
      </w:r>
      <w:r>
        <w:rPr>
          <w:rFonts w:ascii="Times New Roman" w:hAnsi="Times New Roman" w:eastAsia="Times New Roman"/>
          <w:color w:val="000000"/>
          <w:spacing w:val="0"/>
          <w:w w:val="100"/>
          <w:sz w:val="18"/>
          <w:vertAlign w:val="baseline"/>
          <w:lang w:val="fr-FR"/>
        </w:rPr>
        <w:t xml:space="preserve">Article l' :</w:t>
      </w:r>
    </w:p>
    <w:p>
      <w:pPr>
        <w:pageBreakBefore w:val="false"/>
        <w:spacing w:before="63" w:after="0" w:line="215"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Est approuvée, la création d'une parcelle de terre à usage agricole, portant le numéro 59717 du plan cadastral de la Commune de Mont-Ngafula, Ville de Kinshasa, ayant une superficie de 82 ha 21 ares 45 ca 01%.</w:t>
      </w:r>
    </w:p>
    <w:p>
      <w:pPr>
        <w:pageBreakBefore w:val="false"/>
        <w:spacing w:before="284" w:after="0" w:line="209" w:lineRule="exact"/>
        <w:ind w:right="72" w:left="72"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Article 2 :</w:t>
      </w:r>
    </w:p>
    <w:p>
      <w:pPr>
        <w:pageBreakBefore w:val="false"/>
        <w:spacing w:before="69" w:after="0" w:line="215" w:lineRule="exact"/>
        <w:ind w:right="72" w:left="72" w:firstLine="36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La parcelle ainsi créée est mise sur le marché aux conditions fixées par l'Arrêtéinterministériel n° 129/CAB/ MIN/AFF.FONC/2011 et n° 095 CAB/MIN/FINANCES/2011 du 29 mars 2011 portant fixation des taux des droits, taxes et</w:t>
      </w:r>
    </w:p>
    <w:p>
      <w:pPr>
        <w:pageBreakBefore w:val="false"/>
        <w:spacing w:before="242" w:after="0" w:line="201" w:lineRule="exact"/>
        <w:ind w:right="72" w:left="72" w:firstLine="0"/>
        <w:jc w:val="center"/>
        <w:textAlignment w:val="baseline"/>
        <w:rPr>
          <w:rFonts w:ascii="Times New Roman" w:hAnsi="Times New Roman" w:eastAsia="Times New Roman"/>
          <w:color w:val="000000"/>
          <w:spacing w:val="33"/>
          <w:w w:val="100"/>
          <w:sz w:val="18"/>
          <w:vertAlign w:val="baseline"/>
          <w:lang w:val="fr-FR"/>
        </w:rPr>
      </w:pPr>
      <w:r>
        <w:rPr>
          <w:rFonts w:ascii="Times New Roman" w:hAnsi="Times New Roman" w:eastAsia="Times New Roman"/>
          <w:color w:val="000000"/>
          <w:spacing w:val="33"/>
          <w:w w:val="100"/>
          <w:sz w:val="18"/>
          <w:vertAlign w:val="baseline"/>
          <w:lang w:val="fr-FR"/>
        </w:rPr>
        <w:t xml:space="preserve">56</w:t>
      </w:r>
    </w:p>
    <w:sectPr>
      <w:type w:val="continuous"/>
      <w:pgSz w:w="11904" w:h="16843" w:orient="portrait"/>
      <w:pgMar w:bottom="339" w:top="0" w:right="1192" w:left="779" w:header="720" w:footer="720"/>
      <w:cols w:sep="0" w:num="2" w:space="0" w:equalWidth="0">
        <w:col w:w="4840" w:space="253"/>
        <w:col w:w="4840" w:space="0"/>
      </w:cols>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